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08</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4361</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50</w:t>
      </w:r>
      <w:r>
        <w:rPr>
          <w:rFonts w:hint="default" w:ascii="Times New Roman" w:hAnsi="Times New Roman" w:eastAsia="仿宋_GB2312" w:cs="Times New Roman"/>
          <w:color w:val="000000"/>
          <w:spacing w:val="0"/>
          <w:w w:val="100"/>
          <w:position w:val="0"/>
          <w:sz w:val="32"/>
          <w:szCs w:val="32"/>
        </w:rPr>
        <w:t>万元的整数倍。</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14"/>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9"/>
      <w:r>
        <w:rPr>
          <w:rFonts w:hint="default" w:ascii="Times New Roman" w:hAnsi="Times New Roman" w:eastAsia="仿宋_GB2312" w:cs="Times New Roman"/>
          <w:color w:val="000000"/>
          <w:spacing w:val="0"/>
          <w:w w:val="100"/>
          <w:position w:val="0"/>
          <w:sz w:val="32"/>
          <w:szCs w:val="32"/>
          <w:highlight w:val="none"/>
        </w:rPr>
        <w:t>（一）公告时间：202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21</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13</w:t>
      </w:r>
      <w:r>
        <w:rPr>
          <w:rFonts w:hint="default" w:ascii="Times New Roman" w:hAnsi="Times New Roman" w:eastAsia="仿宋_GB2312" w:cs="Times New Roman"/>
          <w:color w:val="000000"/>
          <w:spacing w:val="0"/>
          <w:w w:val="100"/>
          <w:position w:val="0"/>
          <w:sz w:val="32"/>
          <w:szCs w:val="32"/>
          <w:highlight w:val="none"/>
        </w:rPr>
        <w:t>日。</w:t>
      </w:r>
    </w:p>
    <w:p>
      <w:pPr>
        <w:pStyle w:val="14"/>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13</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27</w:t>
      </w:r>
      <w:r>
        <w:rPr>
          <w:rFonts w:hint="default" w:ascii="Times New Roman" w:hAnsi="Times New Roman" w:eastAsia="仿宋_GB2312" w:cs="Times New Roman"/>
          <w:color w:val="000000"/>
          <w:spacing w:val="0"/>
          <w:w w:val="100"/>
          <w:position w:val="0"/>
          <w:sz w:val="32"/>
          <w:szCs w:val="32"/>
          <w:highlight w:val="none"/>
        </w:rPr>
        <w:t>日10时。</w:t>
      </w:r>
    </w:p>
    <w:p>
      <w:pPr>
        <w:pStyle w:val="14"/>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27</w:t>
      </w:r>
      <w:r>
        <w:rPr>
          <w:rFonts w:hint="default" w:ascii="Times New Roman" w:hAnsi="Times New Roman" w:eastAsia="仿宋_GB2312" w:cs="Times New Roman"/>
          <w:color w:val="000000"/>
          <w:spacing w:val="0"/>
          <w:w w:val="100"/>
          <w:position w:val="0"/>
          <w:sz w:val="32"/>
          <w:szCs w:val="32"/>
          <w:highlight w:val="none"/>
        </w:rPr>
        <w:t>日9时。</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四</w:t>
      </w:r>
      <w:bookmarkEnd w:id="3"/>
      <w:r>
        <w:rPr>
          <w:rFonts w:hint="default" w:ascii="黑体" w:hAnsi="黑体" w:eastAsia="黑体" w:cs="黑体"/>
          <w:color w:val="000000"/>
          <w:spacing w:val="0"/>
          <w:w w:val="100"/>
          <w:position w:val="0"/>
          <w:sz w:val="32"/>
          <w:szCs w:val="32"/>
        </w:rPr>
        <w:t>、竞买资格及要求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4"/>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4" w:name="bookmark10"/>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873</w:t>
      </w:r>
      <w:r>
        <w:rPr>
          <w:rFonts w:hint="default" w:ascii="Times New Roman" w:hAnsi="Times New Roman" w:eastAsia="仿宋_GB2312" w:cs="Times New Roman"/>
          <w:color w:val="000000"/>
          <w:spacing w:val="0"/>
          <w:w w:val="100"/>
          <w:position w:val="0"/>
          <w:sz w:val="32"/>
          <w:szCs w:val="32"/>
        </w:rPr>
        <w:t>万元人民币；</w:t>
      </w:r>
    </w:p>
    <w:p>
      <w:pPr>
        <w:pStyle w:val="14"/>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5" w:name="bookmark11"/>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二）拖欠地价款、闲置土地、囤地炒地、有违法或不良信用记录的企业及其控股股东不得参与竞买。</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12"/>
      <w:r>
        <w:rPr>
          <w:rFonts w:hint="default" w:ascii="黑体" w:hAnsi="黑体" w:eastAsia="黑体" w:cs="黑体"/>
          <w:color w:val="000000"/>
          <w:spacing w:val="0"/>
          <w:w w:val="100"/>
          <w:position w:val="0"/>
          <w:sz w:val="32"/>
          <w:szCs w:val="32"/>
        </w:rPr>
        <w:t>五</w:t>
      </w:r>
      <w:bookmarkEnd w:id="6"/>
      <w:r>
        <w:rPr>
          <w:rFonts w:hint="default" w:ascii="黑体" w:hAnsi="黑体" w:eastAsia="黑体" w:cs="黑体"/>
          <w:color w:val="000000"/>
          <w:spacing w:val="0"/>
          <w:w w:val="100"/>
          <w:position w:val="0"/>
          <w:sz w:val="32"/>
          <w:szCs w:val="32"/>
        </w:rPr>
        <w:t>、需要说明的事项</w:t>
      </w:r>
    </w:p>
    <w:p>
      <w:pPr>
        <w:pStyle w:val="9"/>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eastAsia" w:ascii="Times New Roman" w:hAnsi="Times New Roman" w:eastAsia="仿宋_GB2312" w:cs="Times New Roman"/>
          <w:lang w:eastAsia="zh-CN"/>
        </w:rPr>
      </w:pPr>
      <w:bookmarkStart w:id="7"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）该宗地产权清晰、征地有关安置补偿已落实到位、不存在任何纠纷，地块周边基础设施已基本配套，具备动工建设所必需的条件</w:t>
      </w:r>
      <w:r>
        <w:rPr>
          <w:rFonts w:hint="eastAsia" w:ascii="Times New Roman" w:hAnsi="Times New Roman" w:cs="Times New Roman"/>
          <w:lang w:eastAsia="zh-CN"/>
        </w:rPr>
        <w:t>；</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7"/>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8" w:name="bookmark14"/>
      <w:r>
        <w:rPr>
          <w:rFonts w:hint="default" w:ascii="Times New Roman" w:hAnsi="Times New Roman" w:eastAsia="仿宋_GB2312" w:cs="Times New Roman"/>
          <w:color w:val="000000"/>
          <w:spacing w:val="0"/>
          <w:w w:val="100"/>
          <w:position w:val="0"/>
          <w:sz w:val="32"/>
          <w:szCs w:val="32"/>
        </w:rPr>
        <w:t>（</w:t>
      </w:r>
      <w:bookmarkEnd w:id="8"/>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9" w:name="bookmark15"/>
      <w:r>
        <w:rPr>
          <w:rFonts w:hint="default" w:ascii="Times New Roman" w:hAnsi="Times New Roman" w:eastAsia="仿宋_GB2312" w:cs="Times New Roman"/>
          <w:color w:val="000000"/>
          <w:spacing w:val="0"/>
          <w:w w:val="100"/>
          <w:position w:val="0"/>
          <w:sz w:val="32"/>
          <w:szCs w:val="32"/>
        </w:rPr>
        <w:t>（</w:t>
      </w:r>
      <w:bookmarkEnd w:id="9"/>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b w:val="0"/>
          <w:bCs/>
          <w:i w:val="0"/>
          <w:caps w:val="0"/>
          <w:color w:val="000000"/>
          <w:spacing w:val="0"/>
          <w:w w:val="100"/>
          <w:sz w:val="32"/>
          <w:szCs w:val="32"/>
          <w:lang w:val="en-US" w:eastAsia="zh-CN"/>
        </w:rPr>
        <w:t>惠州仲恺高新技术产业开发区</w:t>
      </w:r>
      <w:r>
        <w:rPr>
          <w:rFonts w:hint="eastAsia" w:ascii="Times New Roman" w:hAnsi="Times New Roman" w:eastAsia="仿宋_GB2312" w:cs="Times New Roman"/>
          <w:b w:val="0"/>
          <w:bCs/>
          <w:i w:val="0"/>
          <w:caps w:val="0"/>
          <w:color w:val="000000"/>
          <w:spacing w:val="0"/>
          <w:w w:val="100"/>
          <w:sz w:val="32"/>
          <w:szCs w:val="32"/>
          <w:lang w:val="en-US" w:eastAsia="zh-CN"/>
        </w:rPr>
        <w:t>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16"/>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b w:val="0"/>
          <w:bCs/>
          <w:i w:val="0"/>
          <w:caps w:val="0"/>
          <w:color w:val="000000"/>
          <w:spacing w:val="0"/>
          <w:w w:val="100"/>
          <w:sz w:val="32"/>
          <w:szCs w:val="32"/>
          <w:lang w:val="en-US" w:eastAsia="zh-CN"/>
        </w:rPr>
        <w:t>惠州仲恺高新技术产业开发区</w:t>
      </w:r>
      <w:r>
        <w:rPr>
          <w:rFonts w:hint="eastAsia" w:ascii="Times New Roman" w:hAnsi="Times New Roman" w:eastAsia="仿宋_GB2312" w:cs="Times New Roman"/>
          <w:b w:val="0"/>
          <w:bCs/>
          <w:i w:val="0"/>
          <w:caps w:val="0"/>
          <w:color w:val="000000"/>
          <w:spacing w:val="0"/>
          <w:w w:val="100"/>
          <w:sz w:val="32"/>
          <w:szCs w:val="32"/>
          <w:lang w:val="en-US" w:eastAsia="zh-CN"/>
        </w:rPr>
        <w:t>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1" w:name="bookmark17"/>
      <w:r>
        <w:rPr>
          <w:rFonts w:hint="default" w:ascii="黑体" w:hAnsi="黑体" w:eastAsia="黑体" w:cs="黑体"/>
          <w:color w:val="000000"/>
          <w:spacing w:val="0"/>
          <w:w w:val="100"/>
          <w:position w:val="0"/>
          <w:sz w:val="32"/>
          <w:szCs w:val="32"/>
        </w:rPr>
        <w:t>六</w:t>
      </w:r>
      <w:bookmarkEnd w:id="11"/>
      <w:r>
        <w:rPr>
          <w:rFonts w:hint="default" w:ascii="黑体" w:hAnsi="黑体" w:eastAsia="黑体" w:cs="黑体"/>
          <w:color w:val="000000"/>
          <w:spacing w:val="0"/>
          <w:w w:val="100"/>
          <w:position w:val="0"/>
          <w:sz w:val="32"/>
          <w:szCs w:val="32"/>
        </w:rPr>
        <w:t>、竞买保证金</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8"/>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873</w:t>
      </w:r>
      <w:bookmarkStart w:id="34" w:name="_GoBack"/>
      <w:bookmarkEnd w:id="34"/>
      <w:r>
        <w:rPr>
          <w:rFonts w:hint="default" w:ascii="Times New Roman" w:hAnsi="Times New Roman" w:eastAsia="仿宋_GB2312" w:cs="Times New Roman"/>
          <w:color w:val="000000"/>
          <w:spacing w:val="0"/>
          <w:w w:val="100"/>
          <w:position w:val="0"/>
          <w:sz w:val="32"/>
          <w:szCs w:val="32"/>
        </w:rPr>
        <w:t>万元。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9"/>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4" w:name="bookmark20"/>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5" w:name="bookmark21"/>
      <w:r>
        <w:rPr>
          <w:rFonts w:hint="default" w:ascii="黑体" w:hAnsi="黑体" w:eastAsia="黑体" w:cs="黑体"/>
          <w:color w:val="000000"/>
          <w:spacing w:val="0"/>
          <w:w w:val="100"/>
          <w:position w:val="0"/>
          <w:sz w:val="32"/>
          <w:szCs w:val="32"/>
        </w:rPr>
        <w:t>七</w:t>
      </w:r>
      <w:bookmarkEnd w:id="15"/>
      <w:r>
        <w:rPr>
          <w:rFonts w:hint="default" w:ascii="黑体" w:hAnsi="黑体" w:eastAsia="黑体" w:cs="黑体"/>
          <w:color w:val="000000"/>
          <w:spacing w:val="0"/>
          <w:w w:val="100"/>
          <w:position w:val="0"/>
          <w:sz w:val="32"/>
          <w:szCs w:val="32"/>
        </w:rPr>
        <w:t>、竞买申请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6" w:name="bookmark22"/>
      <w:r>
        <w:rPr>
          <w:rFonts w:hint="default" w:ascii="黑体" w:hAnsi="黑体" w:eastAsia="黑体" w:cs="黑体"/>
          <w:color w:val="000000"/>
          <w:spacing w:val="0"/>
          <w:w w:val="100"/>
          <w:position w:val="0"/>
          <w:sz w:val="32"/>
          <w:szCs w:val="32"/>
        </w:rPr>
        <w:t>八</w:t>
      </w:r>
      <w:bookmarkEnd w:id="16"/>
      <w:r>
        <w:rPr>
          <w:rFonts w:hint="default" w:ascii="黑体" w:hAnsi="黑体" w:eastAsia="黑体" w:cs="黑体"/>
          <w:color w:val="000000"/>
          <w:spacing w:val="0"/>
          <w:w w:val="100"/>
          <w:position w:val="0"/>
          <w:sz w:val="32"/>
          <w:szCs w:val="32"/>
        </w:rPr>
        <w:t>、竞买人电子报价及电子限时竞价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7" w:name="bookmark23"/>
      <w:r>
        <w:rPr>
          <w:rFonts w:hint="default" w:ascii="黑体" w:hAnsi="黑体" w:eastAsia="黑体" w:cs="黑体"/>
          <w:color w:val="000000"/>
          <w:spacing w:val="0"/>
          <w:w w:val="100"/>
          <w:position w:val="0"/>
          <w:sz w:val="32"/>
          <w:szCs w:val="32"/>
        </w:rPr>
        <w:t>九</w:t>
      </w:r>
      <w:bookmarkEnd w:id="17"/>
      <w:r>
        <w:rPr>
          <w:rFonts w:hint="default" w:ascii="黑体" w:hAnsi="黑体" w:eastAsia="黑体" w:cs="黑体"/>
          <w:color w:val="000000"/>
          <w:spacing w:val="0"/>
          <w:w w:val="100"/>
          <w:position w:val="0"/>
          <w:sz w:val="32"/>
          <w:szCs w:val="32"/>
        </w:rPr>
        <w:t>、确定成交候选人</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4</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4"/>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一）《竞买申请书》（加盖公章）；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5"/>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二）《竞价结果通知书》（加盖公章）；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6"/>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7"/>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8"/>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9"/>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4" w:name="bookmark30"/>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惠州仲恺高新技术产业开发区科技创新局出具的与本公告宗地要求对应产业类型一致的优先发展产业项目文件复印件（核对原件）。</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1"/>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一）不符合竞买资格条件的；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2"/>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3"/>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8" w:name="bookmark34"/>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5"/>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6"/>
      <w:r>
        <w:rPr>
          <w:rFonts w:hint="default" w:ascii="Times New Roman" w:hAnsi="Times New Roman" w:eastAsia="仿宋_GB2312" w:cs="Times New Roman"/>
          <w:color w:val="000000"/>
          <w:spacing w:val="0"/>
          <w:w w:val="100"/>
          <w:position w:val="0"/>
          <w:sz w:val="32"/>
          <w:szCs w:val="32"/>
          <w:lang w:val="zh-CN" w:eastAsia="zh-CN"/>
        </w:rPr>
        <w:t>（</w:t>
      </w:r>
      <w:bookmarkEnd w:id="30"/>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7"/>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8"/>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9"/>
      <w:r>
        <w:rPr>
          <w:rFonts w:hint="default" w:ascii="Times New Roman" w:hAnsi="Times New Roman" w:eastAsia="仿宋_GB2312" w:cs="Times New Roman"/>
          <w:color w:val="000000"/>
          <w:spacing w:val="0"/>
          <w:w w:val="100"/>
          <w:position w:val="0"/>
          <w:sz w:val="32"/>
          <w:szCs w:val="32"/>
        </w:rPr>
        <w:t>（</w:t>
      </w:r>
      <w:bookmarkEnd w:id="33"/>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胡女士</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01</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房曦</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zh-TW" w:eastAsia="zh-TW"/>
        </w:rPr>
        <w:t>广东省公共资源交易平台： https://ygp.gdzwfw.gov.cn/</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6"/>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2"/>
              <w:spacing w:line="0" w:lineRule="atLeast"/>
              <w:jc w:val="center"/>
              <w:rPr>
                <w:sz w:val="18"/>
                <w:szCs w:val="18"/>
              </w:rPr>
            </w:pPr>
            <w:r>
              <w:rPr>
                <w:sz w:val="18"/>
                <w:szCs w:val="18"/>
              </w:rPr>
              <w:t>地块挂牌编号</w:t>
            </w:r>
          </w:p>
        </w:tc>
        <w:tc>
          <w:tcPr>
            <w:tcW w:w="709" w:type="dxa"/>
            <w:vMerge w:val="restart"/>
            <w:vAlign w:val="center"/>
          </w:tcPr>
          <w:p>
            <w:pPr>
              <w:pStyle w:val="12"/>
              <w:spacing w:line="0" w:lineRule="atLeast"/>
              <w:jc w:val="center"/>
              <w:rPr>
                <w:sz w:val="18"/>
                <w:szCs w:val="18"/>
              </w:rPr>
            </w:pPr>
            <w:r>
              <w:rPr>
                <w:sz w:val="18"/>
                <w:szCs w:val="18"/>
              </w:rPr>
              <w:t>土地</w:t>
            </w:r>
          </w:p>
          <w:p>
            <w:pPr>
              <w:pStyle w:val="12"/>
              <w:spacing w:line="0" w:lineRule="atLeast"/>
              <w:jc w:val="center"/>
              <w:rPr>
                <w:sz w:val="18"/>
                <w:szCs w:val="18"/>
              </w:rPr>
            </w:pPr>
            <w:r>
              <w:rPr>
                <w:sz w:val="18"/>
                <w:szCs w:val="18"/>
              </w:rPr>
              <w:t>位置</w:t>
            </w:r>
          </w:p>
        </w:tc>
        <w:tc>
          <w:tcPr>
            <w:tcW w:w="661" w:type="dxa"/>
            <w:vMerge w:val="restart"/>
            <w:vAlign w:val="center"/>
          </w:tcPr>
          <w:p>
            <w:pPr>
              <w:pStyle w:val="12"/>
              <w:spacing w:line="0" w:lineRule="atLeast"/>
              <w:jc w:val="center"/>
              <w:rPr>
                <w:sz w:val="18"/>
                <w:szCs w:val="18"/>
              </w:rPr>
            </w:pPr>
            <w:r>
              <w:rPr>
                <w:sz w:val="18"/>
                <w:szCs w:val="18"/>
              </w:rPr>
              <w:t>用地</w:t>
            </w:r>
          </w:p>
          <w:p>
            <w:pPr>
              <w:pStyle w:val="12"/>
              <w:spacing w:line="0" w:lineRule="atLeast"/>
              <w:jc w:val="center"/>
              <w:rPr>
                <w:sz w:val="18"/>
                <w:szCs w:val="18"/>
              </w:rPr>
            </w:pPr>
            <w:r>
              <w:rPr>
                <w:sz w:val="18"/>
                <w:szCs w:val="18"/>
              </w:rPr>
              <w:t>编号</w:t>
            </w:r>
          </w:p>
        </w:tc>
        <w:tc>
          <w:tcPr>
            <w:tcW w:w="640" w:type="dxa"/>
            <w:vMerge w:val="restart"/>
            <w:vAlign w:val="center"/>
          </w:tcPr>
          <w:p>
            <w:pPr>
              <w:pStyle w:val="12"/>
              <w:spacing w:line="0" w:lineRule="atLeast"/>
              <w:jc w:val="center"/>
              <w:rPr>
                <w:sz w:val="18"/>
                <w:szCs w:val="18"/>
              </w:rPr>
            </w:pPr>
            <w:r>
              <w:rPr>
                <w:sz w:val="18"/>
                <w:szCs w:val="18"/>
              </w:rPr>
              <w:t>宗地总面积（㎡）</w:t>
            </w:r>
          </w:p>
        </w:tc>
        <w:tc>
          <w:tcPr>
            <w:tcW w:w="487" w:type="dxa"/>
            <w:vMerge w:val="restart"/>
            <w:vAlign w:val="center"/>
          </w:tcPr>
          <w:p>
            <w:pPr>
              <w:pStyle w:val="12"/>
              <w:spacing w:line="0" w:lineRule="atLeast"/>
              <w:jc w:val="center"/>
              <w:rPr>
                <w:sz w:val="18"/>
                <w:szCs w:val="18"/>
              </w:rPr>
            </w:pPr>
            <w:r>
              <w:rPr>
                <w:sz w:val="18"/>
                <w:szCs w:val="18"/>
              </w:rPr>
              <w:t>土地</w:t>
            </w:r>
          </w:p>
          <w:p>
            <w:pPr>
              <w:pStyle w:val="12"/>
              <w:spacing w:line="0" w:lineRule="atLeast"/>
              <w:jc w:val="center"/>
              <w:rPr>
                <w:sz w:val="18"/>
                <w:szCs w:val="18"/>
              </w:rPr>
            </w:pPr>
            <w:r>
              <w:rPr>
                <w:sz w:val="18"/>
                <w:szCs w:val="18"/>
              </w:rPr>
              <w:t>用途</w:t>
            </w:r>
          </w:p>
        </w:tc>
        <w:tc>
          <w:tcPr>
            <w:tcW w:w="4610" w:type="dxa"/>
            <w:gridSpan w:val="6"/>
            <w:vAlign w:val="center"/>
          </w:tcPr>
          <w:p>
            <w:pPr>
              <w:pStyle w:val="12"/>
              <w:spacing w:line="0" w:lineRule="atLeast"/>
              <w:jc w:val="center"/>
              <w:rPr>
                <w:sz w:val="18"/>
                <w:szCs w:val="18"/>
              </w:rPr>
            </w:pPr>
            <w:r>
              <w:rPr>
                <w:sz w:val="18"/>
                <w:szCs w:val="18"/>
              </w:rPr>
              <w:t>规划指标</w:t>
            </w:r>
          </w:p>
        </w:tc>
        <w:tc>
          <w:tcPr>
            <w:tcW w:w="714" w:type="dxa"/>
            <w:vMerge w:val="restart"/>
            <w:vAlign w:val="center"/>
          </w:tcPr>
          <w:p>
            <w:pPr>
              <w:pStyle w:val="12"/>
              <w:spacing w:line="0" w:lineRule="atLeast"/>
              <w:jc w:val="center"/>
              <w:rPr>
                <w:sz w:val="18"/>
                <w:szCs w:val="18"/>
              </w:rPr>
            </w:pPr>
            <w:r>
              <w:rPr>
                <w:sz w:val="18"/>
                <w:szCs w:val="18"/>
              </w:rPr>
              <w:t>出让</w:t>
            </w:r>
          </w:p>
          <w:p>
            <w:pPr>
              <w:pStyle w:val="12"/>
              <w:spacing w:line="0" w:lineRule="atLeast"/>
              <w:jc w:val="center"/>
              <w:rPr>
                <w:sz w:val="18"/>
                <w:szCs w:val="18"/>
              </w:rPr>
            </w:pPr>
            <w:r>
              <w:rPr>
                <w:sz w:val="18"/>
                <w:szCs w:val="18"/>
              </w:rPr>
              <w:t>年限（年）</w:t>
            </w:r>
          </w:p>
        </w:tc>
        <w:tc>
          <w:tcPr>
            <w:tcW w:w="714" w:type="dxa"/>
            <w:vMerge w:val="restart"/>
            <w:vAlign w:val="center"/>
          </w:tcPr>
          <w:p>
            <w:pPr>
              <w:pStyle w:val="12"/>
              <w:spacing w:line="0" w:lineRule="atLeast"/>
              <w:jc w:val="center"/>
              <w:rPr>
                <w:sz w:val="18"/>
                <w:szCs w:val="18"/>
              </w:rPr>
            </w:pPr>
            <w:r>
              <w:rPr>
                <w:sz w:val="18"/>
                <w:szCs w:val="18"/>
              </w:rPr>
              <w:t>挂牌</w:t>
            </w:r>
          </w:p>
          <w:p>
            <w:pPr>
              <w:pStyle w:val="12"/>
              <w:spacing w:line="0" w:lineRule="atLeast"/>
              <w:jc w:val="center"/>
              <w:rPr>
                <w:sz w:val="18"/>
                <w:szCs w:val="18"/>
              </w:rPr>
            </w:pPr>
            <w:r>
              <w:rPr>
                <w:sz w:val="18"/>
                <w:szCs w:val="18"/>
              </w:rPr>
              <w:t>起始价</w:t>
            </w:r>
          </w:p>
          <w:p>
            <w:pPr>
              <w:pStyle w:val="12"/>
              <w:spacing w:line="0" w:lineRule="atLeast"/>
              <w:jc w:val="center"/>
              <w:rPr>
                <w:sz w:val="18"/>
                <w:szCs w:val="18"/>
              </w:rPr>
            </w:pPr>
            <w:r>
              <w:rPr>
                <w:sz w:val="18"/>
                <w:szCs w:val="18"/>
              </w:rPr>
              <w:t>（万元）</w:t>
            </w:r>
          </w:p>
        </w:tc>
        <w:tc>
          <w:tcPr>
            <w:tcW w:w="743" w:type="dxa"/>
            <w:vMerge w:val="restart"/>
            <w:vAlign w:val="center"/>
          </w:tcPr>
          <w:p>
            <w:pPr>
              <w:pStyle w:val="12"/>
              <w:spacing w:line="0" w:lineRule="atLeast"/>
              <w:jc w:val="center"/>
              <w:rPr>
                <w:sz w:val="18"/>
                <w:szCs w:val="18"/>
              </w:rPr>
            </w:pPr>
            <w:r>
              <w:rPr>
                <w:sz w:val="18"/>
                <w:szCs w:val="18"/>
              </w:rPr>
              <w:t>加价</w:t>
            </w:r>
          </w:p>
          <w:p>
            <w:pPr>
              <w:pStyle w:val="12"/>
              <w:spacing w:line="0" w:lineRule="atLeast"/>
              <w:jc w:val="center"/>
              <w:rPr>
                <w:sz w:val="18"/>
                <w:szCs w:val="18"/>
              </w:rPr>
            </w:pPr>
            <w:r>
              <w:rPr>
                <w:sz w:val="18"/>
                <w:szCs w:val="18"/>
              </w:rPr>
              <w:t>幅度</w:t>
            </w:r>
          </w:p>
          <w:p>
            <w:pPr>
              <w:pStyle w:val="12"/>
              <w:spacing w:line="0" w:lineRule="atLeast"/>
              <w:jc w:val="center"/>
              <w:rPr>
                <w:sz w:val="18"/>
                <w:szCs w:val="18"/>
              </w:rPr>
            </w:pPr>
            <w:r>
              <w:rPr>
                <w:sz w:val="18"/>
                <w:szCs w:val="18"/>
              </w:rPr>
              <w:t>（万元）</w:t>
            </w:r>
          </w:p>
        </w:tc>
        <w:tc>
          <w:tcPr>
            <w:tcW w:w="670" w:type="dxa"/>
            <w:vMerge w:val="restart"/>
            <w:vAlign w:val="center"/>
          </w:tcPr>
          <w:p>
            <w:pPr>
              <w:pStyle w:val="12"/>
              <w:spacing w:line="0" w:lineRule="atLeast"/>
              <w:jc w:val="center"/>
              <w:rPr>
                <w:sz w:val="18"/>
                <w:szCs w:val="18"/>
              </w:rPr>
            </w:pPr>
            <w:r>
              <w:rPr>
                <w:sz w:val="18"/>
                <w:szCs w:val="18"/>
              </w:rPr>
              <w:t>竞买</w:t>
            </w:r>
          </w:p>
          <w:p>
            <w:pPr>
              <w:pStyle w:val="12"/>
              <w:spacing w:line="0" w:lineRule="atLeast"/>
              <w:jc w:val="center"/>
              <w:rPr>
                <w:sz w:val="18"/>
                <w:szCs w:val="18"/>
              </w:rPr>
            </w:pPr>
            <w:r>
              <w:rPr>
                <w:sz w:val="18"/>
                <w:szCs w:val="18"/>
              </w:rPr>
              <w:t>保证金</w:t>
            </w:r>
          </w:p>
          <w:p>
            <w:pPr>
              <w:pStyle w:val="12"/>
              <w:spacing w:line="0" w:lineRule="atLeast"/>
              <w:jc w:val="center"/>
              <w:rPr>
                <w:sz w:val="18"/>
                <w:szCs w:val="18"/>
              </w:rPr>
            </w:pPr>
            <w:r>
              <w:rPr>
                <w:sz w:val="18"/>
                <w:szCs w:val="18"/>
              </w:rPr>
              <w:t>（万元）</w:t>
            </w:r>
          </w:p>
        </w:tc>
        <w:tc>
          <w:tcPr>
            <w:tcW w:w="772" w:type="dxa"/>
            <w:vMerge w:val="restart"/>
            <w:vAlign w:val="center"/>
          </w:tcPr>
          <w:p>
            <w:pPr>
              <w:pStyle w:val="12"/>
              <w:spacing w:line="0" w:lineRule="atLeast"/>
              <w:jc w:val="center"/>
              <w:rPr>
                <w:sz w:val="18"/>
                <w:szCs w:val="18"/>
              </w:rPr>
            </w:pPr>
            <w:r>
              <w:rPr>
                <w:sz w:val="18"/>
                <w:szCs w:val="18"/>
              </w:rPr>
              <w:t>保证金截止时间</w:t>
            </w:r>
          </w:p>
        </w:tc>
        <w:tc>
          <w:tcPr>
            <w:tcW w:w="773" w:type="dxa"/>
            <w:vMerge w:val="restart"/>
            <w:vAlign w:val="center"/>
          </w:tcPr>
          <w:p>
            <w:pPr>
              <w:pStyle w:val="12"/>
              <w:spacing w:line="0" w:lineRule="atLeast"/>
              <w:jc w:val="center"/>
              <w:rPr>
                <w:sz w:val="18"/>
                <w:szCs w:val="18"/>
              </w:rPr>
            </w:pPr>
            <w:r>
              <w:rPr>
                <w:sz w:val="18"/>
                <w:szCs w:val="18"/>
              </w:rPr>
              <w:t>投资强度</w:t>
            </w:r>
          </w:p>
        </w:tc>
        <w:tc>
          <w:tcPr>
            <w:tcW w:w="1230" w:type="dxa"/>
            <w:vMerge w:val="restart"/>
            <w:vAlign w:val="center"/>
          </w:tcPr>
          <w:p>
            <w:pPr>
              <w:pStyle w:val="12"/>
              <w:spacing w:line="0" w:lineRule="atLeast"/>
              <w:jc w:val="center"/>
              <w:rPr>
                <w:sz w:val="18"/>
                <w:szCs w:val="18"/>
              </w:rPr>
            </w:pPr>
            <w:r>
              <w:rPr>
                <w:sz w:val="18"/>
                <w:szCs w:val="18"/>
              </w:rPr>
              <w:t>产业类型</w:t>
            </w:r>
          </w:p>
        </w:tc>
        <w:tc>
          <w:tcPr>
            <w:tcW w:w="1095" w:type="dxa"/>
            <w:vMerge w:val="restart"/>
            <w:vAlign w:val="center"/>
          </w:tcPr>
          <w:p>
            <w:pPr>
              <w:pStyle w:val="12"/>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2"/>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2"/>
              <w:spacing w:line="0" w:lineRule="atLeast"/>
              <w:jc w:val="center"/>
              <w:rPr>
                <w:sz w:val="18"/>
                <w:szCs w:val="18"/>
              </w:rPr>
            </w:pPr>
          </w:p>
        </w:tc>
        <w:tc>
          <w:tcPr>
            <w:tcW w:w="709" w:type="dxa"/>
            <w:vMerge w:val="continue"/>
          </w:tcPr>
          <w:p>
            <w:pPr>
              <w:pStyle w:val="12"/>
              <w:spacing w:line="0" w:lineRule="atLeast"/>
              <w:jc w:val="center"/>
              <w:rPr>
                <w:sz w:val="18"/>
                <w:szCs w:val="18"/>
              </w:rPr>
            </w:pPr>
          </w:p>
        </w:tc>
        <w:tc>
          <w:tcPr>
            <w:tcW w:w="661" w:type="dxa"/>
            <w:vMerge w:val="continue"/>
          </w:tcPr>
          <w:p>
            <w:pPr>
              <w:pStyle w:val="12"/>
              <w:spacing w:line="0" w:lineRule="atLeast"/>
              <w:jc w:val="center"/>
              <w:rPr>
                <w:sz w:val="18"/>
                <w:szCs w:val="18"/>
              </w:rPr>
            </w:pPr>
          </w:p>
        </w:tc>
        <w:tc>
          <w:tcPr>
            <w:tcW w:w="640" w:type="dxa"/>
            <w:vMerge w:val="continue"/>
          </w:tcPr>
          <w:p>
            <w:pPr>
              <w:pStyle w:val="12"/>
              <w:spacing w:line="0" w:lineRule="atLeast"/>
              <w:jc w:val="center"/>
              <w:rPr>
                <w:sz w:val="18"/>
                <w:szCs w:val="18"/>
              </w:rPr>
            </w:pPr>
          </w:p>
        </w:tc>
        <w:tc>
          <w:tcPr>
            <w:tcW w:w="487" w:type="dxa"/>
            <w:vMerge w:val="continue"/>
            <w:vAlign w:val="center"/>
          </w:tcPr>
          <w:p>
            <w:pPr>
              <w:pStyle w:val="12"/>
              <w:spacing w:line="0" w:lineRule="atLeast"/>
              <w:jc w:val="center"/>
              <w:rPr>
                <w:sz w:val="18"/>
                <w:szCs w:val="18"/>
              </w:rPr>
            </w:pPr>
          </w:p>
        </w:tc>
        <w:tc>
          <w:tcPr>
            <w:tcW w:w="695" w:type="dxa"/>
            <w:vAlign w:val="center"/>
          </w:tcPr>
          <w:p>
            <w:pPr>
              <w:pStyle w:val="12"/>
              <w:spacing w:line="0" w:lineRule="atLeast"/>
              <w:jc w:val="center"/>
              <w:rPr>
                <w:sz w:val="18"/>
                <w:szCs w:val="18"/>
              </w:rPr>
            </w:pPr>
            <w:r>
              <w:rPr>
                <w:sz w:val="18"/>
                <w:szCs w:val="18"/>
              </w:rPr>
              <w:t>计算指标用地面积（㎡）</w:t>
            </w:r>
          </w:p>
        </w:tc>
        <w:tc>
          <w:tcPr>
            <w:tcW w:w="755" w:type="dxa"/>
            <w:vAlign w:val="center"/>
          </w:tcPr>
          <w:p>
            <w:pPr>
              <w:pStyle w:val="12"/>
              <w:spacing w:line="0" w:lineRule="atLeast"/>
              <w:jc w:val="center"/>
              <w:rPr>
                <w:sz w:val="18"/>
                <w:szCs w:val="18"/>
              </w:rPr>
            </w:pPr>
            <w:r>
              <w:rPr>
                <w:sz w:val="18"/>
                <w:szCs w:val="18"/>
              </w:rPr>
              <w:t>容积率R</w:t>
            </w:r>
          </w:p>
        </w:tc>
        <w:tc>
          <w:tcPr>
            <w:tcW w:w="1000" w:type="dxa"/>
            <w:vAlign w:val="center"/>
          </w:tcPr>
          <w:p>
            <w:pPr>
              <w:pStyle w:val="12"/>
              <w:spacing w:line="0" w:lineRule="atLeast"/>
              <w:jc w:val="center"/>
              <w:rPr>
                <w:sz w:val="18"/>
                <w:szCs w:val="18"/>
              </w:rPr>
            </w:pPr>
            <w:r>
              <w:rPr>
                <w:sz w:val="18"/>
                <w:szCs w:val="18"/>
              </w:rPr>
              <w:t>计容建筑面积S（㎡）</w:t>
            </w:r>
          </w:p>
        </w:tc>
        <w:tc>
          <w:tcPr>
            <w:tcW w:w="559" w:type="dxa"/>
            <w:vAlign w:val="center"/>
          </w:tcPr>
          <w:p>
            <w:pPr>
              <w:pStyle w:val="12"/>
              <w:spacing w:line="0" w:lineRule="atLeast"/>
              <w:jc w:val="center"/>
              <w:rPr>
                <w:sz w:val="18"/>
                <w:szCs w:val="18"/>
              </w:rPr>
            </w:pPr>
            <w:r>
              <w:rPr>
                <w:sz w:val="18"/>
                <w:szCs w:val="18"/>
              </w:rPr>
              <w:t>建筑系数（%）</w:t>
            </w:r>
          </w:p>
        </w:tc>
        <w:tc>
          <w:tcPr>
            <w:tcW w:w="747" w:type="dxa"/>
            <w:vAlign w:val="center"/>
          </w:tcPr>
          <w:p>
            <w:pPr>
              <w:pStyle w:val="12"/>
              <w:spacing w:line="0" w:lineRule="atLeast"/>
              <w:jc w:val="center"/>
              <w:rPr>
                <w:sz w:val="18"/>
                <w:szCs w:val="18"/>
              </w:rPr>
            </w:pPr>
            <w:r>
              <w:rPr>
                <w:sz w:val="18"/>
                <w:szCs w:val="18"/>
              </w:rPr>
              <w:t>绿地率（%）</w:t>
            </w:r>
          </w:p>
        </w:tc>
        <w:tc>
          <w:tcPr>
            <w:tcW w:w="854" w:type="dxa"/>
            <w:vAlign w:val="center"/>
          </w:tcPr>
          <w:p>
            <w:pPr>
              <w:pStyle w:val="12"/>
              <w:spacing w:line="0" w:lineRule="atLeast"/>
              <w:jc w:val="center"/>
              <w:rPr>
                <w:sz w:val="18"/>
                <w:szCs w:val="18"/>
              </w:rPr>
            </w:pPr>
            <w:r>
              <w:rPr>
                <w:sz w:val="18"/>
                <w:szCs w:val="18"/>
              </w:rPr>
              <w:t>机动车停车位配建要求</w:t>
            </w:r>
          </w:p>
        </w:tc>
        <w:tc>
          <w:tcPr>
            <w:tcW w:w="714" w:type="dxa"/>
            <w:vMerge w:val="continue"/>
          </w:tcPr>
          <w:p>
            <w:pPr>
              <w:pStyle w:val="12"/>
              <w:spacing w:line="0" w:lineRule="atLeast"/>
              <w:jc w:val="center"/>
              <w:rPr>
                <w:sz w:val="18"/>
                <w:szCs w:val="18"/>
              </w:rPr>
            </w:pPr>
          </w:p>
        </w:tc>
        <w:tc>
          <w:tcPr>
            <w:tcW w:w="714" w:type="dxa"/>
            <w:vMerge w:val="continue"/>
          </w:tcPr>
          <w:p>
            <w:pPr>
              <w:pStyle w:val="12"/>
              <w:spacing w:line="0" w:lineRule="atLeast"/>
              <w:jc w:val="center"/>
              <w:rPr>
                <w:sz w:val="18"/>
                <w:szCs w:val="18"/>
              </w:rPr>
            </w:pPr>
          </w:p>
        </w:tc>
        <w:tc>
          <w:tcPr>
            <w:tcW w:w="743" w:type="dxa"/>
            <w:vMerge w:val="continue"/>
          </w:tcPr>
          <w:p>
            <w:pPr>
              <w:pStyle w:val="12"/>
              <w:spacing w:line="0" w:lineRule="atLeast"/>
              <w:jc w:val="center"/>
              <w:rPr>
                <w:sz w:val="18"/>
                <w:szCs w:val="18"/>
              </w:rPr>
            </w:pPr>
          </w:p>
        </w:tc>
        <w:tc>
          <w:tcPr>
            <w:tcW w:w="670" w:type="dxa"/>
            <w:vMerge w:val="continue"/>
          </w:tcPr>
          <w:p>
            <w:pPr>
              <w:pStyle w:val="12"/>
              <w:spacing w:line="0" w:lineRule="atLeast"/>
              <w:jc w:val="center"/>
              <w:rPr>
                <w:sz w:val="18"/>
                <w:szCs w:val="18"/>
              </w:rPr>
            </w:pPr>
          </w:p>
        </w:tc>
        <w:tc>
          <w:tcPr>
            <w:tcW w:w="772" w:type="dxa"/>
            <w:vMerge w:val="continue"/>
          </w:tcPr>
          <w:p>
            <w:pPr>
              <w:pStyle w:val="12"/>
              <w:spacing w:line="0" w:lineRule="atLeast"/>
              <w:jc w:val="center"/>
              <w:rPr>
                <w:sz w:val="18"/>
                <w:szCs w:val="18"/>
              </w:rPr>
            </w:pPr>
          </w:p>
        </w:tc>
        <w:tc>
          <w:tcPr>
            <w:tcW w:w="773" w:type="dxa"/>
            <w:vMerge w:val="continue"/>
          </w:tcPr>
          <w:p>
            <w:pPr>
              <w:pStyle w:val="12"/>
              <w:spacing w:line="0" w:lineRule="atLeast"/>
              <w:jc w:val="center"/>
              <w:rPr>
                <w:sz w:val="18"/>
                <w:szCs w:val="18"/>
              </w:rPr>
            </w:pPr>
          </w:p>
        </w:tc>
        <w:tc>
          <w:tcPr>
            <w:tcW w:w="1230" w:type="dxa"/>
            <w:vMerge w:val="continue"/>
          </w:tcPr>
          <w:p>
            <w:pPr>
              <w:pStyle w:val="12"/>
              <w:spacing w:line="0" w:lineRule="atLeast"/>
              <w:jc w:val="center"/>
              <w:rPr>
                <w:sz w:val="18"/>
                <w:szCs w:val="18"/>
              </w:rPr>
            </w:pPr>
          </w:p>
        </w:tc>
        <w:tc>
          <w:tcPr>
            <w:tcW w:w="1095" w:type="dxa"/>
            <w:vMerge w:val="continue"/>
          </w:tcPr>
          <w:p>
            <w:pPr>
              <w:pStyle w:val="12"/>
              <w:spacing w:line="0" w:lineRule="atLeast"/>
              <w:jc w:val="center"/>
              <w:rPr>
                <w:sz w:val="18"/>
                <w:szCs w:val="18"/>
              </w:rPr>
            </w:pPr>
          </w:p>
        </w:tc>
        <w:tc>
          <w:tcPr>
            <w:tcW w:w="1095" w:type="dxa"/>
            <w:vMerge w:val="continue"/>
          </w:tcPr>
          <w:p>
            <w:pPr>
              <w:pStyle w:val="12"/>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2"/>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13</w:t>
            </w:r>
            <w:r>
              <w:rPr>
                <w:sz w:val="18"/>
                <w:szCs w:val="18"/>
              </w:rPr>
              <w:t>号</w:t>
            </w:r>
          </w:p>
        </w:tc>
        <w:tc>
          <w:tcPr>
            <w:tcW w:w="709" w:type="dxa"/>
            <w:vAlign w:val="center"/>
          </w:tcPr>
          <w:p>
            <w:pPr>
              <w:pStyle w:val="12"/>
              <w:spacing w:line="0" w:lineRule="atLeast"/>
              <w:jc w:val="center"/>
              <w:rPr>
                <w:kern w:val="0"/>
                <w:sz w:val="18"/>
                <w:szCs w:val="18"/>
              </w:rPr>
            </w:pPr>
            <w:r>
              <w:rPr>
                <w:rFonts w:hint="eastAsia"/>
                <w:sz w:val="18"/>
                <w:szCs w:val="18"/>
              </w:rPr>
              <w:t>惠州潼湖生态智慧区国际合作产业园西区</w:t>
            </w:r>
          </w:p>
        </w:tc>
        <w:tc>
          <w:tcPr>
            <w:tcW w:w="661" w:type="dxa"/>
            <w:vAlign w:val="center"/>
          </w:tcPr>
          <w:p>
            <w:pPr>
              <w:pStyle w:val="12"/>
              <w:spacing w:line="0" w:lineRule="atLeast"/>
              <w:jc w:val="center"/>
              <w:rPr>
                <w:kern w:val="0"/>
                <w:sz w:val="18"/>
                <w:szCs w:val="18"/>
              </w:rPr>
            </w:pPr>
            <w:r>
              <w:rPr>
                <w:rFonts w:hint="eastAsia"/>
                <w:sz w:val="18"/>
                <w:szCs w:val="18"/>
              </w:rPr>
              <w:t>ZKD-007-07-01</w:t>
            </w:r>
          </w:p>
        </w:tc>
        <w:tc>
          <w:tcPr>
            <w:tcW w:w="640" w:type="dxa"/>
            <w:vAlign w:val="center"/>
          </w:tcPr>
          <w:p>
            <w:pPr>
              <w:pStyle w:val="12"/>
              <w:spacing w:line="0" w:lineRule="atLeast"/>
              <w:jc w:val="center"/>
              <w:rPr>
                <w:kern w:val="0"/>
                <w:sz w:val="18"/>
                <w:szCs w:val="18"/>
              </w:rPr>
            </w:pPr>
            <w:r>
              <w:rPr>
                <w:rFonts w:hint="eastAsia"/>
                <w:sz w:val="18"/>
                <w:szCs w:val="18"/>
                <w:lang w:val="en-US" w:eastAsia="zh-CN"/>
              </w:rPr>
              <w:t>42071</w:t>
            </w:r>
            <w:r>
              <w:rPr>
                <w:sz w:val="18"/>
                <w:szCs w:val="18"/>
              </w:rPr>
              <w:t>（其中使用权面积为</w:t>
            </w:r>
            <w:r>
              <w:rPr>
                <w:rFonts w:hint="eastAsia"/>
                <w:sz w:val="18"/>
                <w:szCs w:val="18"/>
                <w:lang w:val="en-US" w:eastAsia="zh-CN"/>
              </w:rPr>
              <w:t>35388</w:t>
            </w:r>
            <w:r>
              <w:rPr>
                <w:sz w:val="18"/>
                <w:szCs w:val="18"/>
              </w:rPr>
              <w:t>㎡）</w:t>
            </w:r>
          </w:p>
        </w:tc>
        <w:tc>
          <w:tcPr>
            <w:tcW w:w="487" w:type="dxa"/>
            <w:vAlign w:val="center"/>
          </w:tcPr>
          <w:p>
            <w:pPr>
              <w:pStyle w:val="12"/>
              <w:spacing w:line="0" w:lineRule="atLeast"/>
              <w:jc w:val="center"/>
              <w:rPr>
                <w:kern w:val="0"/>
                <w:sz w:val="18"/>
                <w:szCs w:val="18"/>
              </w:rPr>
            </w:pPr>
            <w:r>
              <w:rPr>
                <w:sz w:val="18"/>
                <w:szCs w:val="18"/>
              </w:rPr>
              <w:t>工业用地</w:t>
            </w:r>
          </w:p>
        </w:tc>
        <w:tc>
          <w:tcPr>
            <w:tcW w:w="695"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42071</w:t>
            </w:r>
          </w:p>
        </w:tc>
        <w:tc>
          <w:tcPr>
            <w:tcW w:w="755"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2.0</w:t>
            </w:r>
            <w:r>
              <w:rPr>
                <w:sz w:val="18"/>
                <w:szCs w:val="18"/>
              </w:rPr>
              <w:t>≤R≤</w:t>
            </w:r>
            <w:r>
              <w:rPr>
                <w:rFonts w:hint="eastAsia"/>
                <w:sz w:val="18"/>
                <w:szCs w:val="18"/>
                <w:lang w:val="en-US" w:eastAsia="zh-CN"/>
              </w:rPr>
              <w:t>2.5</w:t>
            </w:r>
          </w:p>
        </w:tc>
        <w:tc>
          <w:tcPr>
            <w:tcW w:w="1000"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84142</w:t>
            </w:r>
            <w:r>
              <w:rPr>
                <w:sz w:val="18"/>
                <w:szCs w:val="18"/>
              </w:rPr>
              <w:t>≤S≤</w:t>
            </w:r>
            <w:r>
              <w:rPr>
                <w:rFonts w:hint="eastAsia"/>
                <w:sz w:val="18"/>
                <w:szCs w:val="18"/>
                <w:lang w:val="en-US" w:eastAsia="zh-CN"/>
              </w:rPr>
              <w:t>105177</w:t>
            </w:r>
          </w:p>
        </w:tc>
        <w:tc>
          <w:tcPr>
            <w:tcW w:w="559" w:type="dxa"/>
            <w:vAlign w:val="center"/>
          </w:tcPr>
          <w:p>
            <w:pPr>
              <w:pStyle w:val="12"/>
              <w:spacing w:line="0" w:lineRule="atLeast"/>
              <w:jc w:val="center"/>
              <w:rPr>
                <w:kern w:val="0"/>
                <w:sz w:val="18"/>
                <w:szCs w:val="18"/>
              </w:rPr>
            </w:pPr>
            <w:r>
              <w:rPr>
                <w:sz w:val="18"/>
                <w:szCs w:val="18"/>
              </w:rPr>
              <w:t>≥30</w:t>
            </w:r>
          </w:p>
        </w:tc>
        <w:tc>
          <w:tcPr>
            <w:tcW w:w="747" w:type="dxa"/>
            <w:vAlign w:val="center"/>
          </w:tcPr>
          <w:p>
            <w:pPr>
              <w:pStyle w:val="12"/>
              <w:spacing w:line="0" w:lineRule="atLeast"/>
              <w:jc w:val="center"/>
              <w:rPr>
                <w:kern w:val="0"/>
                <w:sz w:val="18"/>
                <w:szCs w:val="18"/>
              </w:rPr>
            </w:pPr>
            <w:r>
              <w:rPr>
                <w:sz w:val="18"/>
                <w:szCs w:val="18"/>
              </w:rPr>
              <w:t>15≤绿地率≤20</w:t>
            </w:r>
          </w:p>
        </w:tc>
        <w:tc>
          <w:tcPr>
            <w:tcW w:w="854" w:type="dxa"/>
            <w:vAlign w:val="center"/>
          </w:tcPr>
          <w:p>
            <w:pPr>
              <w:pStyle w:val="12"/>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2"/>
              <w:spacing w:line="0" w:lineRule="atLeast"/>
              <w:jc w:val="center"/>
              <w:rPr>
                <w:kern w:val="0"/>
                <w:sz w:val="18"/>
                <w:szCs w:val="18"/>
              </w:rPr>
            </w:pPr>
            <w:r>
              <w:rPr>
                <w:rFonts w:hint="eastAsia"/>
                <w:sz w:val="18"/>
                <w:szCs w:val="18"/>
              </w:rPr>
              <w:t>50</w:t>
            </w:r>
          </w:p>
        </w:tc>
        <w:tc>
          <w:tcPr>
            <w:tcW w:w="714"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4361</w:t>
            </w:r>
          </w:p>
        </w:tc>
        <w:tc>
          <w:tcPr>
            <w:tcW w:w="743"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50</w:t>
            </w:r>
          </w:p>
        </w:tc>
        <w:tc>
          <w:tcPr>
            <w:tcW w:w="670" w:type="dxa"/>
            <w:vAlign w:val="center"/>
          </w:tcPr>
          <w:p>
            <w:pPr>
              <w:pStyle w:val="12"/>
              <w:spacing w:line="0" w:lineRule="atLeast"/>
              <w:jc w:val="center"/>
              <w:rPr>
                <w:rFonts w:hint="default" w:eastAsia="宋体"/>
                <w:kern w:val="0"/>
                <w:sz w:val="18"/>
                <w:szCs w:val="18"/>
                <w:lang w:val="en-US" w:eastAsia="zh-CN"/>
              </w:rPr>
            </w:pPr>
            <w:r>
              <w:rPr>
                <w:rFonts w:hint="eastAsia"/>
                <w:sz w:val="18"/>
                <w:szCs w:val="18"/>
                <w:lang w:val="en-US" w:eastAsia="zh-CN"/>
              </w:rPr>
              <w:t>873</w:t>
            </w:r>
          </w:p>
        </w:tc>
        <w:tc>
          <w:tcPr>
            <w:tcW w:w="772" w:type="dxa"/>
            <w:vAlign w:val="center"/>
          </w:tcPr>
          <w:p>
            <w:pPr>
              <w:pStyle w:val="12"/>
              <w:spacing w:line="0" w:lineRule="atLeast"/>
              <w:jc w:val="center"/>
              <w:rPr>
                <w:sz w:val="18"/>
                <w:szCs w:val="18"/>
              </w:rPr>
            </w:pPr>
            <w:r>
              <w:rPr>
                <w:sz w:val="18"/>
                <w:szCs w:val="18"/>
              </w:rPr>
              <w:t>2023</w:t>
            </w:r>
            <w:r>
              <w:rPr>
                <w:rFonts w:hint="eastAsia"/>
                <w:sz w:val="18"/>
                <w:szCs w:val="18"/>
              </w:rPr>
              <w:t>年</w:t>
            </w:r>
            <w:r>
              <w:rPr>
                <w:rFonts w:hint="eastAsia"/>
                <w:sz w:val="18"/>
                <w:szCs w:val="18"/>
                <w:lang w:val="en-US" w:eastAsia="zh-CN"/>
              </w:rPr>
              <w:t>3</w:t>
            </w:r>
            <w:r>
              <w:rPr>
                <w:rFonts w:hint="eastAsia"/>
                <w:sz w:val="18"/>
                <w:szCs w:val="18"/>
              </w:rPr>
              <w:t>月</w:t>
            </w:r>
            <w:r>
              <w:rPr>
                <w:rFonts w:hint="eastAsia"/>
                <w:sz w:val="18"/>
                <w:szCs w:val="18"/>
                <w:lang w:val="en-US" w:eastAsia="zh-CN"/>
              </w:rPr>
              <w:t>27</w:t>
            </w:r>
            <w:r>
              <w:rPr>
                <w:rFonts w:hint="eastAsia"/>
                <w:sz w:val="18"/>
                <w:szCs w:val="18"/>
              </w:rPr>
              <w:t>日</w:t>
            </w:r>
            <w:r>
              <w:rPr>
                <w:sz w:val="18"/>
                <w:szCs w:val="18"/>
              </w:rPr>
              <w:t>9</w:t>
            </w:r>
            <w:r>
              <w:rPr>
                <w:rFonts w:hint="eastAsia"/>
                <w:sz w:val="18"/>
                <w:szCs w:val="18"/>
              </w:rPr>
              <w:t>时</w:t>
            </w:r>
          </w:p>
        </w:tc>
        <w:tc>
          <w:tcPr>
            <w:tcW w:w="773" w:type="dxa"/>
            <w:vAlign w:val="center"/>
          </w:tcPr>
          <w:p>
            <w:pPr>
              <w:pStyle w:val="12"/>
              <w:spacing w:line="0" w:lineRule="atLeast"/>
              <w:jc w:val="center"/>
              <w:rPr>
                <w:kern w:val="0"/>
                <w:sz w:val="18"/>
                <w:szCs w:val="18"/>
              </w:rPr>
            </w:pPr>
            <w:r>
              <w:rPr>
                <w:rFonts w:hint="eastAsia"/>
                <w:sz w:val="18"/>
                <w:szCs w:val="18"/>
              </w:rPr>
              <w:t>≥</w:t>
            </w:r>
            <w:r>
              <w:rPr>
                <w:rFonts w:hint="eastAsia"/>
                <w:sz w:val="18"/>
                <w:szCs w:val="18"/>
                <w:lang w:val="en-US" w:eastAsia="zh-CN"/>
              </w:rPr>
              <w:t xml:space="preserve"> 11885</w:t>
            </w:r>
            <w:r>
              <w:rPr>
                <w:rFonts w:hint="eastAsia"/>
                <w:sz w:val="18"/>
                <w:szCs w:val="18"/>
              </w:rPr>
              <w:t>元/㎡</w:t>
            </w:r>
          </w:p>
        </w:tc>
        <w:tc>
          <w:tcPr>
            <w:tcW w:w="1230" w:type="dxa"/>
            <w:vAlign w:val="center"/>
          </w:tcPr>
          <w:p>
            <w:pPr>
              <w:pStyle w:val="12"/>
              <w:spacing w:line="0" w:lineRule="atLeast"/>
              <w:jc w:val="center"/>
              <w:rPr>
                <w:kern w:val="0"/>
                <w:sz w:val="18"/>
                <w:szCs w:val="18"/>
              </w:rPr>
            </w:pPr>
            <w:r>
              <w:rPr>
                <w:rFonts w:hint="eastAsia"/>
                <w:sz w:val="18"/>
                <w:szCs w:val="18"/>
              </w:rPr>
              <w:t>锂离子电池自动化、智能化生产成套制造装备产业</w:t>
            </w:r>
          </w:p>
        </w:tc>
        <w:tc>
          <w:tcPr>
            <w:tcW w:w="1095" w:type="dxa"/>
            <w:vAlign w:val="center"/>
          </w:tcPr>
          <w:p>
            <w:pPr>
              <w:pStyle w:val="12"/>
              <w:spacing w:line="0" w:lineRule="atLeast"/>
              <w:jc w:val="center"/>
              <w:rPr>
                <w:sz w:val="18"/>
                <w:szCs w:val="18"/>
              </w:rPr>
            </w:pPr>
            <w:r>
              <w:rPr>
                <w:rFonts w:hint="eastAsia"/>
                <w:sz w:val="18"/>
                <w:szCs w:val="18"/>
                <w:lang w:eastAsia="zh-CN"/>
              </w:rPr>
              <w:t>惠州仲恺高新技术产业开发区经济发展局</w:t>
            </w:r>
          </w:p>
        </w:tc>
        <w:tc>
          <w:tcPr>
            <w:tcW w:w="1095" w:type="dxa"/>
            <w:vAlign w:val="center"/>
          </w:tcPr>
          <w:p>
            <w:pPr>
              <w:pStyle w:val="12"/>
              <w:spacing w:line="0" w:lineRule="atLeast"/>
              <w:jc w:val="center"/>
              <w:rPr>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bl>
    <w:p>
      <w:pPr>
        <w:pStyle w:val="2"/>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MjkwYzUxNzNhNWI0MDRhYWMzNzIzMzI4MjUwMzcifQ=="/>
  </w:docVars>
  <w:rsids>
    <w:rsidRoot w:val="71FB1ABE"/>
    <w:rsid w:val="045105B6"/>
    <w:rsid w:val="058A138B"/>
    <w:rsid w:val="08055CAB"/>
    <w:rsid w:val="0848533A"/>
    <w:rsid w:val="0BE235BB"/>
    <w:rsid w:val="10ED7AE7"/>
    <w:rsid w:val="16B0051C"/>
    <w:rsid w:val="1A1A0363"/>
    <w:rsid w:val="1B9D6B0E"/>
    <w:rsid w:val="1F98238D"/>
    <w:rsid w:val="220B2CE7"/>
    <w:rsid w:val="23AD4CDF"/>
    <w:rsid w:val="23B168DA"/>
    <w:rsid w:val="28B10AB2"/>
    <w:rsid w:val="2C656693"/>
    <w:rsid w:val="2DBF648A"/>
    <w:rsid w:val="2E9B217D"/>
    <w:rsid w:val="31962890"/>
    <w:rsid w:val="383E1D77"/>
    <w:rsid w:val="39875E43"/>
    <w:rsid w:val="3CD00C90"/>
    <w:rsid w:val="41A6583F"/>
    <w:rsid w:val="4C6709DD"/>
    <w:rsid w:val="4E4A17FE"/>
    <w:rsid w:val="508C1DCB"/>
    <w:rsid w:val="51E910B1"/>
    <w:rsid w:val="56C2517C"/>
    <w:rsid w:val="5B6E2B54"/>
    <w:rsid w:val="5E7E7DF8"/>
    <w:rsid w:val="60DE67F4"/>
    <w:rsid w:val="64131D21"/>
    <w:rsid w:val="67E718D7"/>
    <w:rsid w:val="6D967499"/>
    <w:rsid w:val="71FB1ABE"/>
    <w:rsid w:val="74AA42AD"/>
    <w:rsid w:val="763A3FE7"/>
    <w:rsid w:val="78323697"/>
    <w:rsid w:val="78325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我的正文"/>
    <w:basedOn w:val="10"/>
    <w:qFormat/>
    <w:uiPriority w:val="0"/>
    <w:pPr>
      <w:spacing w:line="560" w:lineRule="exact"/>
      <w:ind w:firstLine="200" w:firstLineChars="200"/>
    </w:pPr>
    <w:rPr>
      <w:rFonts w:eastAsia="仿宋_GB2312"/>
      <w:sz w:val="32"/>
      <w:szCs w:val="32"/>
    </w:rPr>
  </w:style>
  <w:style w:type="paragraph" w:customStyle="1" w:styleId="10">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qFormat/>
    <w:uiPriority w:val="0"/>
    <w:pPr>
      <w:widowControl/>
    </w:pPr>
    <w:rPr>
      <w:kern w:val="0"/>
      <w:szCs w:val="21"/>
    </w:rPr>
  </w:style>
  <w:style w:type="paragraph" w:customStyle="1" w:styleId="14">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3268</Words>
  <Characters>3620</Characters>
  <Lines>0</Lines>
  <Paragraphs>0</Paragraphs>
  <TotalTime>1</TotalTime>
  <ScaleCrop>false</ScaleCrop>
  <LinksUpToDate>false</LinksUpToDate>
  <CharactersWithSpaces>3658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✨亮亮✨</cp:lastModifiedBy>
  <cp:lastPrinted>2022-11-14T09:32:00Z</cp:lastPrinted>
  <dcterms:modified xsi:type="dcterms:W3CDTF">2023-02-20T07:20:03Z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1D4C73103A694484A076E64D61A05A0B</vt:lpwstr>
  </property>
</Properties>
</file>